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522E0F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A405EB" w:rsidRDefault="00B70D7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22E0F">
        <w:rPr>
          <w:rFonts w:ascii="Arial" w:hAnsi="Arial" w:cs="Arial"/>
          <w:sz w:val="20"/>
          <w:szCs w:val="20"/>
        </w:rPr>
        <w:t>07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247" w:rsidRPr="00F57247">
        <w:rPr>
          <w:rFonts w:ascii="Arial" w:hAnsi="Arial" w:cs="Arial"/>
          <w:sz w:val="20"/>
          <w:szCs w:val="20"/>
        </w:rPr>
        <w:t>BaRia</w:t>
      </w:r>
      <w:proofErr w:type="spellEnd"/>
      <w:r w:rsidR="00F57247" w:rsidRPr="00F57247">
        <w:rPr>
          <w:rFonts w:ascii="Arial" w:hAnsi="Arial" w:cs="Arial"/>
          <w:sz w:val="20"/>
          <w:szCs w:val="20"/>
        </w:rPr>
        <w:t xml:space="preserve"> Rubber Joint Stock Company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522E0F">
        <w:rPr>
          <w:rFonts w:ascii="Arial" w:hAnsi="Arial" w:cs="Arial"/>
          <w:sz w:val="20"/>
          <w:szCs w:val="20"/>
        </w:rPr>
        <w:t>Board resolution</w:t>
      </w:r>
      <w:r w:rsidR="00A55655" w:rsidRPr="00A5565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E7F28" w:rsidRDefault="0038613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financial regulation, debt m</w:t>
      </w:r>
      <w:r w:rsidR="00522E0F" w:rsidRPr="00522E0F">
        <w:rPr>
          <w:rFonts w:ascii="Arial" w:hAnsi="Arial" w:cs="Arial"/>
          <w:sz w:val="20"/>
          <w:szCs w:val="20"/>
        </w:rPr>
        <w:t xml:space="preserve">anagement </w:t>
      </w:r>
      <w:r>
        <w:rPr>
          <w:rFonts w:ascii="Arial" w:hAnsi="Arial" w:cs="Arial"/>
          <w:sz w:val="20"/>
          <w:szCs w:val="20"/>
        </w:rPr>
        <w:t>r</w:t>
      </w:r>
      <w:r w:rsidR="00522E0F" w:rsidRPr="00522E0F">
        <w:rPr>
          <w:rFonts w:ascii="Arial" w:hAnsi="Arial" w:cs="Arial"/>
          <w:sz w:val="20"/>
          <w:szCs w:val="20"/>
        </w:rPr>
        <w:t xml:space="preserve">egulation of </w:t>
      </w:r>
      <w:proofErr w:type="spellStart"/>
      <w:r w:rsidR="00522E0F" w:rsidRPr="00522E0F">
        <w:rPr>
          <w:rFonts w:ascii="Arial" w:hAnsi="Arial" w:cs="Arial"/>
          <w:sz w:val="20"/>
          <w:szCs w:val="20"/>
        </w:rPr>
        <w:t>BaRia</w:t>
      </w:r>
      <w:proofErr w:type="spellEnd"/>
      <w:r w:rsidR="00522E0F" w:rsidRPr="00522E0F">
        <w:rPr>
          <w:rFonts w:ascii="Arial" w:hAnsi="Arial" w:cs="Arial"/>
          <w:sz w:val="20"/>
          <w:szCs w:val="20"/>
        </w:rPr>
        <w:t xml:space="preserve"> Rubber Joint Stock Company and the assignment of tasks to </w:t>
      </w:r>
      <w:r>
        <w:rPr>
          <w:rFonts w:ascii="Arial" w:hAnsi="Arial" w:cs="Arial"/>
          <w:sz w:val="20"/>
          <w:szCs w:val="20"/>
        </w:rPr>
        <w:t>members of the Board of Directors in</w:t>
      </w:r>
      <w:r w:rsidR="00522E0F" w:rsidRPr="00522E0F">
        <w:rPr>
          <w:rFonts w:ascii="Arial" w:hAnsi="Arial" w:cs="Arial"/>
          <w:sz w:val="20"/>
          <w:szCs w:val="20"/>
        </w:rPr>
        <w:t xml:space="preserve"> the 2016-2021 term </w:t>
      </w:r>
    </w:p>
    <w:p w:rsidR="00A95FE6" w:rsidRDefault="00522E0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E0F">
        <w:rPr>
          <w:rFonts w:ascii="Arial" w:hAnsi="Arial" w:cs="Arial"/>
          <w:sz w:val="20"/>
          <w:szCs w:val="20"/>
        </w:rPr>
        <w:t xml:space="preserve">Article 2: Prepare documents and procedures to be certified to </w:t>
      </w:r>
      <w:r w:rsidR="00A84727">
        <w:rPr>
          <w:rFonts w:ascii="Arial" w:hAnsi="Arial" w:cs="Arial"/>
          <w:sz w:val="20"/>
          <w:szCs w:val="20"/>
        </w:rPr>
        <w:t>be</w:t>
      </w:r>
      <w:r w:rsidRPr="00522E0F">
        <w:rPr>
          <w:rFonts w:ascii="Arial" w:hAnsi="Arial" w:cs="Arial"/>
          <w:sz w:val="20"/>
          <w:szCs w:val="20"/>
        </w:rPr>
        <w:t xml:space="preserve"> 100 </w:t>
      </w:r>
      <w:r w:rsidR="00A84727">
        <w:rPr>
          <w:rFonts w:ascii="Arial" w:hAnsi="Arial" w:cs="Arial"/>
          <w:sz w:val="20"/>
          <w:szCs w:val="20"/>
        </w:rPr>
        <w:t>sustainable businesses in</w:t>
      </w:r>
      <w:r w:rsidRPr="00522E0F">
        <w:rPr>
          <w:rFonts w:ascii="Arial" w:hAnsi="Arial" w:cs="Arial"/>
          <w:sz w:val="20"/>
          <w:szCs w:val="20"/>
        </w:rPr>
        <w:t xml:space="preserve"> 2020, develop plans and issue certificates of</w:t>
      </w:r>
      <w:r w:rsidR="00A84727">
        <w:rPr>
          <w:rFonts w:ascii="Arial" w:hAnsi="Arial" w:cs="Arial"/>
          <w:sz w:val="20"/>
          <w:szCs w:val="20"/>
        </w:rPr>
        <w:t xml:space="preserve"> sustainable forest management,</w:t>
      </w:r>
      <w:r w:rsidRPr="00522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E0F">
        <w:rPr>
          <w:rFonts w:ascii="Arial" w:hAnsi="Arial" w:cs="Arial"/>
          <w:sz w:val="20"/>
          <w:szCs w:val="20"/>
        </w:rPr>
        <w:t>CoC</w:t>
      </w:r>
      <w:proofErr w:type="spellEnd"/>
      <w:r w:rsidRPr="00522E0F">
        <w:rPr>
          <w:rFonts w:ascii="Arial" w:hAnsi="Arial" w:cs="Arial"/>
          <w:sz w:val="20"/>
          <w:szCs w:val="20"/>
        </w:rPr>
        <w:t xml:space="preserve"> chain in 2020 with </w:t>
      </w:r>
      <w:r w:rsidR="00A95FE6">
        <w:rPr>
          <w:rFonts w:ascii="Arial" w:hAnsi="Arial" w:cs="Arial"/>
          <w:sz w:val="20"/>
          <w:szCs w:val="20"/>
        </w:rPr>
        <w:t>an estimated area of ​​2,500 ha</w:t>
      </w:r>
    </w:p>
    <w:p w:rsidR="00A95FE6" w:rsidRDefault="00522E0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E0F">
        <w:rPr>
          <w:rFonts w:ascii="Arial" w:hAnsi="Arial" w:cs="Arial"/>
          <w:sz w:val="20"/>
          <w:szCs w:val="20"/>
        </w:rPr>
        <w:t>Article 3: Approve the</w:t>
      </w:r>
      <w:r w:rsidR="00A95FE6">
        <w:rPr>
          <w:rFonts w:ascii="Arial" w:hAnsi="Arial" w:cs="Arial"/>
          <w:sz w:val="20"/>
          <w:szCs w:val="20"/>
        </w:rPr>
        <w:t xml:space="preserve"> business results of Quarter 2</w:t>
      </w:r>
      <w:r w:rsidRPr="00522E0F">
        <w:rPr>
          <w:rFonts w:ascii="Arial" w:hAnsi="Arial" w:cs="Arial"/>
          <w:sz w:val="20"/>
          <w:szCs w:val="20"/>
        </w:rPr>
        <w:t xml:space="preserve">/ 2020 according to the </w:t>
      </w:r>
      <w:r w:rsidR="00A95FE6">
        <w:rPr>
          <w:rFonts w:ascii="Arial" w:hAnsi="Arial" w:cs="Arial"/>
          <w:sz w:val="20"/>
          <w:szCs w:val="20"/>
        </w:rPr>
        <w:t>financial statement</w:t>
      </w:r>
      <w:r w:rsidRPr="00522E0F">
        <w:rPr>
          <w:rFonts w:ascii="Arial" w:hAnsi="Arial" w:cs="Arial"/>
          <w:sz w:val="20"/>
          <w:szCs w:val="20"/>
        </w:rPr>
        <w:t xml:space="preserve"> reported by the General Director of the Company, with some basic </w:t>
      </w:r>
      <w:r w:rsidR="00A95FE6">
        <w:rPr>
          <w:rFonts w:ascii="Arial" w:hAnsi="Arial" w:cs="Arial"/>
          <w:sz w:val="20"/>
          <w:szCs w:val="20"/>
        </w:rPr>
        <w:t>indicators</w:t>
      </w:r>
      <w:r w:rsidRPr="00522E0F">
        <w:rPr>
          <w:rFonts w:ascii="Arial" w:hAnsi="Arial" w:cs="Arial"/>
          <w:sz w:val="20"/>
          <w:szCs w:val="20"/>
        </w:rPr>
        <w:t xml:space="preserve">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314"/>
        <w:gridCol w:w="1343"/>
        <w:gridCol w:w="1346"/>
        <w:gridCol w:w="1363"/>
        <w:gridCol w:w="1373"/>
        <w:gridCol w:w="1365"/>
      </w:tblGrid>
      <w:tr w:rsidR="00C241D7" w:rsidTr="00C241D7">
        <w:tc>
          <w:tcPr>
            <w:tcW w:w="472" w:type="dxa"/>
          </w:tcPr>
          <w:p w:rsidR="00A95FE6" w:rsidRDefault="00A95FE6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14" w:type="dxa"/>
          </w:tcPr>
          <w:p w:rsidR="00A95FE6" w:rsidRDefault="00A95FE6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343" w:type="dxa"/>
          </w:tcPr>
          <w:p w:rsidR="00A95FE6" w:rsidRDefault="00A95FE6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346" w:type="dxa"/>
          </w:tcPr>
          <w:p w:rsidR="00A95FE6" w:rsidRDefault="00A95FE6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363" w:type="dxa"/>
          </w:tcPr>
          <w:p w:rsidR="00A95FE6" w:rsidRDefault="00A95FE6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Q.2/ 2020</w:t>
            </w:r>
          </w:p>
        </w:tc>
        <w:tc>
          <w:tcPr>
            <w:tcW w:w="1373" w:type="dxa"/>
          </w:tcPr>
          <w:p w:rsidR="00A95FE6" w:rsidRDefault="00A95FE6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6 months</w:t>
            </w:r>
          </w:p>
        </w:tc>
        <w:tc>
          <w:tcPr>
            <w:tcW w:w="1365" w:type="dxa"/>
          </w:tcPr>
          <w:p w:rsidR="00A95FE6" w:rsidRDefault="00C241D7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</w:t>
            </w:r>
          </w:p>
        </w:tc>
      </w:tr>
      <w:tr w:rsidR="00C241D7" w:rsidTr="00C241D7">
        <w:tc>
          <w:tcPr>
            <w:tcW w:w="472" w:type="dxa"/>
          </w:tcPr>
          <w:p w:rsidR="00C241D7" w:rsidRDefault="00C241D7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:rsidR="00C241D7" w:rsidRDefault="00C241D7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Output of exploited rubber</w:t>
            </w:r>
          </w:p>
        </w:tc>
        <w:tc>
          <w:tcPr>
            <w:tcW w:w="1343" w:type="dxa"/>
          </w:tcPr>
          <w:p w:rsidR="00C241D7" w:rsidRDefault="00C241D7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346" w:type="dxa"/>
          </w:tcPr>
          <w:p w:rsidR="00C241D7" w:rsidRDefault="00C241D7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10,200</w:t>
            </w:r>
          </w:p>
        </w:tc>
        <w:tc>
          <w:tcPr>
            <w:tcW w:w="1363" w:type="dxa"/>
          </w:tcPr>
          <w:p w:rsidR="00C241D7" w:rsidRDefault="00C241D7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555.40</w:t>
            </w:r>
          </w:p>
        </w:tc>
        <w:tc>
          <w:tcPr>
            <w:tcW w:w="1373" w:type="dxa"/>
          </w:tcPr>
          <w:p w:rsidR="00C241D7" w:rsidRDefault="00C241D7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1,102.64</w:t>
            </w:r>
          </w:p>
        </w:tc>
        <w:tc>
          <w:tcPr>
            <w:tcW w:w="1365" w:type="dxa"/>
          </w:tcPr>
          <w:p w:rsidR="00C241D7" w:rsidRDefault="00C241D7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10.8%</w:t>
            </w:r>
          </w:p>
        </w:tc>
      </w:tr>
      <w:tr w:rsidR="003356BC" w:rsidTr="00C241D7">
        <w:tc>
          <w:tcPr>
            <w:tcW w:w="472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Output of purchased rubber</w:t>
            </w:r>
          </w:p>
        </w:tc>
        <w:tc>
          <w:tcPr>
            <w:tcW w:w="1343" w:type="dxa"/>
          </w:tcPr>
          <w:p w:rsidR="003356BC" w:rsidRDefault="003356BC" w:rsidP="003356BC">
            <w:r w:rsidRPr="001F2F0C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346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363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56.68</w:t>
            </w:r>
          </w:p>
        </w:tc>
        <w:tc>
          <w:tcPr>
            <w:tcW w:w="1373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167.13</w:t>
            </w:r>
          </w:p>
        </w:tc>
        <w:tc>
          <w:tcPr>
            <w:tcW w:w="1365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11.9%</w:t>
            </w:r>
          </w:p>
        </w:tc>
      </w:tr>
      <w:tr w:rsidR="003356BC" w:rsidTr="00C241D7">
        <w:tc>
          <w:tcPr>
            <w:tcW w:w="472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 xml:space="preserve">Output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522E0F">
              <w:rPr>
                <w:rFonts w:ascii="Arial" w:hAnsi="Arial" w:cs="Arial"/>
                <w:sz w:val="20"/>
                <w:szCs w:val="20"/>
              </w:rPr>
              <w:t xml:space="preserve"> processed</w:t>
            </w:r>
            <w:r>
              <w:rPr>
                <w:rFonts w:ascii="Arial" w:hAnsi="Arial" w:cs="Arial"/>
                <w:sz w:val="20"/>
                <w:szCs w:val="20"/>
              </w:rPr>
              <w:t xml:space="preserve"> rubber</w:t>
            </w:r>
          </w:p>
        </w:tc>
        <w:tc>
          <w:tcPr>
            <w:tcW w:w="1343" w:type="dxa"/>
          </w:tcPr>
          <w:p w:rsidR="003356BC" w:rsidRDefault="003356BC" w:rsidP="003356BC">
            <w:r w:rsidRPr="001F2F0C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346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14,600</w:t>
            </w:r>
          </w:p>
        </w:tc>
        <w:tc>
          <w:tcPr>
            <w:tcW w:w="1363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399.80</w:t>
            </w:r>
          </w:p>
        </w:tc>
        <w:tc>
          <w:tcPr>
            <w:tcW w:w="1373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2,711.60</w:t>
            </w:r>
          </w:p>
        </w:tc>
        <w:tc>
          <w:tcPr>
            <w:tcW w:w="1365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18.6%</w:t>
            </w:r>
          </w:p>
        </w:tc>
      </w:tr>
      <w:tr w:rsidR="003356BC" w:rsidTr="00C241D7">
        <w:tc>
          <w:tcPr>
            <w:tcW w:w="472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processing</w:t>
            </w:r>
          </w:p>
        </w:tc>
        <w:tc>
          <w:tcPr>
            <w:tcW w:w="1343" w:type="dxa"/>
          </w:tcPr>
          <w:p w:rsidR="003356BC" w:rsidRDefault="003356BC" w:rsidP="003356BC">
            <w:r w:rsidRPr="001F2F0C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346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363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5</w:t>
            </w:r>
            <w:r w:rsidR="00CA0E1B">
              <w:rPr>
                <w:rFonts w:ascii="Arial" w:hAnsi="Arial" w:cs="Arial"/>
                <w:sz w:val="20"/>
                <w:szCs w:val="20"/>
              </w:rPr>
              <w:t>5</w:t>
            </w:r>
            <w:r w:rsidRPr="00522E0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73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1,127.78</w:t>
            </w:r>
          </w:p>
        </w:tc>
        <w:tc>
          <w:tcPr>
            <w:tcW w:w="1365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37.6%</w:t>
            </w:r>
          </w:p>
        </w:tc>
      </w:tr>
      <w:tr w:rsidR="003356BC" w:rsidTr="00C241D7">
        <w:tc>
          <w:tcPr>
            <w:tcW w:w="472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4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sales</w:t>
            </w:r>
          </w:p>
        </w:tc>
        <w:tc>
          <w:tcPr>
            <w:tcW w:w="1343" w:type="dxa"/>
          </w:tcPr>
          <w:p w:rsidR="003356BC" w:rsidRDefault="003356BC" w:rsidP="003356BC">
            <w:r w:rsidRPr="001F2F0C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346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11,600</w:t>
            </w:r>
          </w:p>
        </w:tc>
        <w:tc>
          <w:tcPr>
            <w:tcW w:w="1363" w:type="dxa"/>
          </w:tcPr>
          <w:p w:rsidR="003356BC" w:rsidRDefault="00B46704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1,184.</w:t>
            </w:r>
            <w:r w:rsidR="008D040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73" w:type="dxa"/>
          </w:tcPr>
          <w:p w:rsidR="003356BC" w:rsidRDefault="00CC29D0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3356BC" w:rsidRPr="00522E0F">
              <w:rPr>
                <w:rFonts w:ascii="Arial" w:hAnsi="Arial" w:cs="Arial"/>
                <w:sz w:val="20"/>
                <w:szCs w:val="20"/>
              </w:rPr>
              <w:t>380.69</w:t>
            </w:r>
          </w:p>
        </w:tc>
        <w:tc>
          <w:tcPr>
            <w:tcW w:w="1365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20.5%</w:t>
            </w:r>
          </w:p>
        </w:tc>
      </w:tr>
      <w:tr w:rsidR="003356BC" w:rsidTr="00C241D7">
        <w:tc>
          <w:tcPr>
            <w:tcW w:w="472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export</w:t>
            </w:r>
          </w:p>
        </w:tc>
        <w:tc>
          <w:tcPr>
            <w:tcW w:w="1343" w:type="dxa"/>
          </w:tcPr>
          <w:p w:rsidR="003356BC" w:rsidRDefault="003356BC" w:rsidP="003356BC">
            <w:r w:rsidRPr="001F2F0C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346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363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311.04</w:t>
            </w:r>
          </w:p>
        </w:tc>
        <w:tc>
          <w:tcPr>
            <w:tcW w:w="1373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1,017.60</w:t>
            </w:r>
          </w:p>
        </w:tc>
        <w:tc>
          <w:tcPr>
            <w:tcW w:w="1365" w:type="dxa"/>
          </w:tcPr>
          <w:p w:rsidR="003356BC" w:rsidRDefault="003356BC" w:rsidP="003356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25.4%</w:t>
            </w:r>
          </w:p>
        </w:tc>
      </w:tr>
      <w:tr w:rsidR="00C241D7" w:rsidTr="00C241D7">
        <w:tc>
          <w:tcPr>
            <w:tcW w:w="472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4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rubber selling price</w:t>
            </w:r>
          </w:p>
        </w:tc>
        <w:tc>
          <w:tcPr>
            <w:tcW w:w="1343" w:type="dxa"/>
          </w:tcPr>
          <w:p w:rsidR="00C241D7" w:rsidRDefault="00CA0E1B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million/ ton</w:t>
            </w:r>
          </w:p>
        </w:tc>
        <w:tc>
          <w:tcPr>
            <w:tcW w:w="1346" w:type="dxa"/>
          </w:tcPr>
          <w:p w:rsidR="00C241D7" w:rsidRDefault="00CC29D0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1363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31.15</w:t>
            </w:r>
          </w:p>
        </w:tc>
        <w:tc>
          <w:tcPr>
            <w:tcW w:w="1373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32.28</w:t>
            </w:r>
          </w:p>
        </w:tc>
        <w:tc>
          <w:tcPr>
            <w:tcW w:w="1365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102.5%</w:t>
            </w:r>
          </w:p>
        </w:tc>
      </w:tr>
      <w:tr w:rsidR="00C241D7" w:rsidTr="00C241D7">
        <w:tc>
          <w:tcPr>
            <w:tcW w:w="472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4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343" w:type="dxa"/>
          </w:tcPr>
          <w:p w:rsidR="00C241D7" w:rsidRDefault="00CA0E1B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346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474.07</w:t>
            </w:r>
          </w:p>
        </w:tc>
        <w:tc>
          <w:tcPr>
            <w:tcW w:w="1363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50.53</w:t>
            </w:r>
          </w:p>
        </w:tc>
        <w:tc>
          <w:tcPr>
            <w:tcW w:w="1373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97.98</w:t>
            </w:r>
          </w:p>
        </w:tc>
        <w:tc>
          <w:tcPr>
            <w:tcW w:w="1365" w:type="dxa"/>
          </w:tcPr>
          <w:p w:rsidR="00C241D7" w:rsidRDefault="00AA294C" w:rsidP="00C241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20.7%</w:t>
            </w:r>
          </w:p>
        </w:tc>
      </w:tr>
      <w:tr w:rsidR="00CA0E1B" w:rsidTr="00C241D7">
        <w:tc>
          <w:tcPr>
            <w:tcW w:w="472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rubber revenue</w:t>
            </w:r>
          </w:p>
        </w:tc>
        <w:tc>
          <w:tcPr>
            <w:tcW w:w="1343" w:type="dxa"/>
          </w:tcPr>
          <w:p w:rsidR="00CA0E1B" w:rsidRDefault="00CA0E1B" w:rsidP="00CA0E1B">
            <w:r w:rsidRPr="004C28D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346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365.40</w:t>
            </w:r>
          </w:p>
        </w:tc>
        <w:tc>
          <w:tcPr>
            <w:tcW w:w="1363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36.91</w:t>
            </w:r>
          </w:p>
        </w:tc>
        <w:tc>
          <w:tcPr>
            <w:tcW w:w="1373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78.84</w:t>
            </w:r>
          </w:p>
        </w:tc>
        <w:tc>
          <w:tcPr>
            <w:tcW w:w="1365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21.6%</w:t>
            </w:r>
          </w:p>
        </w:tc>
      </w:tr>
      <w:tr w:rsidR="00CA0E1B" w:rsidTr="00C241D7">
        <w:tc>
          <w:tcPr>
            <w:tcW w:w="472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4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343" w:type="dxa"/>
          </w:tcPr>
          <w:p w:rsidR="00CA0E1B" w:rsidRDefault="00CA0E1B" w:rsidP="00CA0E1B">
            <w:r w:rsidRPr="004C28D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346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85.26</w:t>
            </w:r>
          </w:p>
        </w:tc>
        <w:tc>
          <w:tcPr>
            <w:tcW w:w="1363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  <w:tc>
          <w:tcPr>
            <w:tcW w:w="1373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15.84</w:t>
            </w:r>
          </w:p>
        </w:tc>
        <w:tc>
          <w:tcPr>
            <w:tcW w:w="1365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522E0F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CA0E1B" w:rsidTr="00C241D7">
        <w:tc>
          <w:tcPr>
            <w:tcW w:w="472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4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1343" w:type="dxa"/>
          </w:tcPr>
          <w:p w:rsidR="00CA0E1B" w:rsidRDefault="00CA0E1B" w:rsidP="00CA0E1B">
            <w:r w:rsidRPr="004C28D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346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39.46</w:t>
            </w:r>
          </w:p>
        </w:tc>
        <w:tc>
          <w:tcPr>
            <w:tcW w:w="1363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373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9.87</w:t>
            </w:r>
          </w:p>
        </w:tc>
        <w:tc>
          <w:tcPr>
            <w:tcW w:w="1365" w:type="dxa"/>
          </w:tcPr>
          <w:p w:rsidR="00CA0E1B" w:rsidRDefault="00CA0E1B" w:rsidP="00CA0E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E0F">
              <w:rPr>
                <w:rFonts w:ascii="Arial" w:hAnsi="Arial" w:cs="Arial"/>
                <w:sz w:val="20"/>
                <w:szCs w:val="20"/>
              </w:rPr>
              <w:t>25.0%</w:t>
            </w:r>
          </w:p>
        </w:tc>
      </w:tr>
    </w:tbl>
    <w:p w:rsidR="00A95FE6" w:rsidRDefault="00A95FE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1DD" w:rsidRDefault="00B531D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1D1">
        <w:rPr>
          <w:rFonts w:ascii="Arial" w:hAnsi="Arial" w:cs="Arial"/>
          <w:sz w:val="20"/>
          <w:szCs w:val="20"/>
        </w:rPr>
        <w:t xml:space="preserve">Some </w:t>
      </w:r>
      <w:r w:rsidR="004851DD">
        <w:rPr>
          <w:rFonts w:ascii="Arial" w:hAnsi="Arial" w:cs="Arial"/>
          <w:sz w:val="20"/>
          <w:szCs w:val="20"/>
        </w:rPr>
        <w:t>indicators</w:t>
      </w:r>
      <w:r w:rsidRPr="00B531D1">
        <w:rPr>
          <w:rFonts w:ascii="Arial" w:hAnsi="Arial" w:cs="Arial"/>
          <w:sz w:val="20"/>
          <w:szCs w:val="20"/>
        </w:rPr>
        <w:t xml:space="preserve"> for the third quarter of 2020: </w:t>
      </w:r>
    </w:p>
    <w:p w:rsidR="004851DD" w:rsidRDefault="004851D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Mining output: 3,936 tons</w:t>
      </w:r>
    </w:p>
    <w:p w:rsidR="004851DD" w:rsidRDefault="00B531D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1D1">
        <w:rPr>
          <w:rFonts w:ascii="Arial" w:hAnsi="Arial" w:cs="Arial"/>
          <w:sz w:val="20"/>
          <w:szCs w:val="20"/>
        </w:rPr>
        <w:t xml:space="preserve">- </w:t>
      </w:r>
      <w:r w:rsidR="004851DD">
        <w:rPr>
          <w:rFonts w:ascii="Arial" w:hAnsi="Arial" w:cs="Arial"/>
          <w:sz w:val="20"/>
          <w:szCs w:val="20"/>
        </w:rPr>
        <w:t>Consumption output: 3,500 tons</w:t>
      </w:r>
    </w:p>
    <w:p w:rsidR="004851DD" w:rsidRDefault="00B531D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1D1">
        <w:rPr>
          <w:rFonts w:ascii="Arial" w:hAnsi="Arial" w:cs="Arial"/>
          <w:sz w:val="20"/>
          <w:szCs w:val="20"/>
        </w:rPr>
        <w:t xml:space="preserve">- Total revenue: </w:t>
      </w:r>
      <w:r w:rsidR="004851DD">
        <w:rPr>
          <w:rFonts w:ascii="Arial" w:hAnsi="Arial" w:cs="Arial"/>
          <w:sz w:val="20"/>
          <w:szCs w:val="20"/>
        </w:rPr>
        <w:t xml:space="preserve">VND </w:t>
      </w:r>
      <w:r w:rsidRPr="00B531D1">
        <w:rPr>
          <w:rFonts w:ascii="Arial" w:hAnsi="Arial" w:cs="Arial"/>
          <w:sz w:val="20"/>
          <w:szCs w:val="20"/>
        </w:rPr>
        <w:t xml:space="preserve">108.7 billion </w:t>
      </w:r>
    </w:p>
    <w:p w:rsidR="004851DD" w:rsidRDefault="00B531D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1D1">
        <w:rPr>
          <w:rFonts w:ascii="Arial" w:hAnsi="Arial" w:cs="Arial"/>
          <w:sz w:val="20"/>
          <w:szCs w:val="20"/>
        </w:rPr>
        <w:lastRenderedPageBreak/>
        <w:t xml:space="preserve">- Estimated profit: </w:t>
      </w:r>
      <w:r w:rsidR="004851DD">
        <w:rPr>
          <w:rFonts w:ascii="Arial" w:hAnsi="Arial" w:cs="Arial"/>
          <w:sz w:val="20"/>
          <w:szCs w:val="20"/>
        </w:rPr>
        <w:t xml:space="preserve">VND 10.1 billion </w:t>
      </w:r>
    </w:p>
    <w:p w:rsidR="004851DD" w:rsidRDefault="00B531D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1D1">
        <w:rPr>
          <w:rFonts w:ascii="Arial" w:hAnsi="Arial" w:cs="Arial"/>
          <w:sz w:val="20"/>
          <w:szCs w:val="20"/>
        </w:rPr>
        <w:t xml:space="preserve">Article 4: Some other tasks </w:t>
      </w:r>
    </w:p>
    <w:p w:rsidR="00EA15A3" w:rsidRDefault="00B531D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1D1">
        <w:rPr>
          <w:rFonts w:ascii="Arial" w:hAnsi="Arial" w:cs="Arial"/>
          <w:sz w:val="20"/>
          <w:szCs w:val="20"/>
        </w:rPr>
        <w:t xml:space="preserve">- </w:t>
      </w:r>
      <w:r w:rsidR="001B6ABD">
        <w:rPr>
          <w:rFonts w:ascii="Arial" w:hAnsi="Arial" w:cs="Arial"/>
          <w:sz w:val="20"/>
          <w:szCs w:val="20"/>
        </w:rPr>
        <w:t xml:space="preserve">Approve </w:t>
      </w:r>
      <w:r w:rsidRPr="00B531D1">
        <w:rPr>
          <w:rFonts w:ascii="Arial" w:hAnsi="Arial" w:cs="Arial"/>
          <w:sz w:val="20"/>
          <w:szCs w:val="20"/>
        </w:rPr>
        <w:t>compensation, support for land liquidation and submission to the Group for permission to liquidate gardens to hand over land to</w:t>
      </w:r>
      <w:r w:rsidR="001B6AB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1B6ABD">
        <w:rPr>
          <w:rFonts w:ascii="Arial" w:hAnsi="Arial" w:cs="Arial"/>
          <w:sz w:val="20"/>
          <w:szCs w:val="20"/>
        </w:rPr>
        <w:t>localty</w:t>
      </w:r>
      <w:proofErr w:type="spellEnd"/>
      <w:r w:rsidRPr="00B531D1">
        <w:rPr>
          <w:rFonts w:ascii="Arial" w:hAnsi="Arial" w:cs="Arial"/>
          <w:sz w:val="20"/>
          <w:szCs w:val="20"/>
        </w:rPr>
        <w:t>, including: 11</w:t>
      </w:r>
      <w:r w:rsidR="001B6ABD">
        <w:rPr>
          <w:rFonts w:ascii="Arial" w:hAnsi="Arial" w:cs="Arial"/>
          <w:sz w:val="20"/>
          <w:szCs w:val="20"/>
        </w:rPr>
        <w:t>.</w:t>
      </w:r>
      <w:r w:rsidR="00FF7714">
        <w:rPr>
          <w:rFonts w:ascii="Arial" w:hAnsi="Arial" w:cs="Arial"/>
          <w:sz w:val="20"/>
          <w:szCs w:val="20"/>
        </w:rPr>
        <w:t>049 for the implementation of</w:t>
      </w:r>
      <w:r w:rsidRPr="00B531D1">
        <w:rPr>
          <w:rFonts w:ascii="Arial" w:hAnsi="Arial" w:cs="Arial"/>
          <w:sz w:val="20"/>
          <w:szCs w:val="20"/>
        </w:rPr>
        <w:t xml:space="preserve"> </w:t>
      </w:r>
      <w:r w:rsidR="00FF7714">
        <w:rPr>
          <w:rFonts w:ascii="Arial" w:hAnsi="Arial" w:cs="Arial"/>
          <w:sz w:val="20"/>
          <w:szCs w:val="20"/>
        </w:rPr>
        <w:t>mining and processing</w:t>
      </w:r>
      <w:r w:rsidRPr="00B53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7714" w:rsidRPr="00B531D1">
        <w:rPr>
          <w:rFonts w:ascii="Arial" w:hAnsi="Arial" w:cs="Arial"/>
          <w:sz w:val="20"/>
          <w:szCs w:val="20"/>
        </w:rPr>
        <w:t>Puzolan</w:t>
      </w:r>
      <w:proofErr w:type="spellEnd"/>
      <w:r w:rsidR="00FF7714">
        <w:rPr>
          <w:rFonts w:ascii="Arial" w:hAnsi="Arial" w:cs="Arial"/>
          <w:sz w:val="20"/>
          <w:szCs w:val="20"/>
        </w:rPr>
        <w:t xml:space="preserve"> rock at Dat Do hill in</w:t>
      </w:r>
      <w:r w:rsidRPr="00B531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1D1">
        <w:rPr>
          <w:rFonts w:ascii="Arial" w:hAnsi="Arial" w:cs="Arial"/>
          <w:sz w:val="20"/>
          <w:szCs w:val="20"/>
        </w:rPr>
        <w:t>Xa</w:t>
      </w:r>
      <w:proofErr w:type="spellEnd"/>
      <w:r w:rsidRPr="00B531D1">
        <w:rPr>
          <w:rFonts w:ascii="Arial" w:hAnsi="Arial" w:cs="Arial"/>
          <w:sz w:val="20"/>
          <w:szCs w:val="20"/>
        </w:rPr>
        <w:t xml:space="preserve"> Bang and 4</w:t>
      </w:r>
      <w:r w:rsidR="004D0B61">
        <w:rPr>
          <w:rFonts w:ascii="Arial" w:hAnsi="Arial" w:cs="Arial"/>
          <w:sz w:val="20"/>
          <w:szCs w:val="20"/>
        </w:rPr>
        <w:t>.218 ha for</w:t>
      </w:r>
      <w:r w:rsidRPr="00B531D1">
        <w:rPr>
          <w:rFonts w:ascii="Arial" w:hAnsi="Arial" w:cs="Arial"/>
          <w:sz w:val="20"/>
          <w:szCs w:val="20"/>
        </w:rPr>
        <w:t xml:space="preserve"> project of </w:t>
      </w:r>
      <w:r w:rsidR="004D0B61">
        <w:rPr>
          <w:rFonts w:ascii="Arial" w:hAnsi="Arial" w:cs="Arial"/>
          <w:sz w:val="20"/>
          <w:szCs w:val="20"/>
        </w:rPr>
        <w:t>custody</w:t>
      </w:r>
      <w:r w:rsidRPr="00B531D1">
        <w:rPr>
          <w:rFonts w:ascii="Arial" w:hAnsi="Arial" w:cs="Arial"/>
          <w:sz w:val="20"/>
          <w:szCs w:val="20"/>
        </w:rPr>
        <w:t xml:space="preserve"> house and fire prevention and fighting team in </w:t>
      </w:r>
      <w:proofErr w:type="spellStart"/>
      <w:r w:rsidRPr="00B531D1">
        <w:rPr>
          <w:rFonts w:ascii="Arial" w:hAnsi="Arial" w:cs="Arial"/>
          <w:sz w:val="20"/>
          <w:szCs w:val="20"/>
        </w:rPr>
        <w:t>Binh</w:t>
      </w:r>
      <w:proofErr w:type="spellEnd"/>
      <w:r w:rsidRPr="00B531D1">
        <w:rPr>
          <w:rFonts w:ascii="Arial" w:hAnsi="Arial" w:cs="Arial"/>
          <w:sz w:val="20"/>
          <w:szCs w:val="20"/>
        </w:rPr>
        <w:t xml:space="preserve"> Ba </w:t>
      </w:r>
    </w:p>
    <w:p w:rsidR="004C4A1C" w:rsidRDefault="00EA15A3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Agree to</w:t>
      </w:r>
      <w:r w:rsidR="00B531D1" w:rsidRPr="00B531D1">
        <w:rPr>
          <w:rFonts w:ascii="Arial" w:hAnsi="Arial" w:cs="Arial"/>
          <w:sz w:val="20"/>
          <w:szCs w:val="20"/>
        </w:rPr>
        <w:t xml:space="preserve"> the contents of </w:t>
      </w:r>
      <w:r>
        <w:rPr>
          <w:rFonts w:ascii="Arial" w:hAnsi="Arial" w:cs="Arial"/>
          <w:sz w:val="20"/>
          <w:szCs w:val="20"/>
        </w:rPr>
        <w:t>consulting</w:t>
      </w:r>
      <w:r w:rsidR="00B531D1" w:rsidRPr="00B531D1">
        <w:rPr>
          <w:rFonts w:ascii="Arial" w:hAnsi="Arial" w:cs="Arial"/>
          <w:sz w:val="20"/>
          <w:szCs w:val="20"/>
        </w:rPr>
        <w:t xml:space="preserve"> at the General Meeting of Shareholders of the Capital Representative </w:t>
      </w:r>
      <w:r>
        <w:rPr>
          <w:rFonts w:ascii="Arial" w:hAnsi="Arial" w:cs="Arial"/>
          <w:sz w:val="20"/>
          <w:szCs w:val="20"/>
        </w:rPr>
        <w:t>in the companies contributing</w:t>
      </w:r>
      <w:r w:rsidR="00B531D1" w:rsidRPr="00B531D1">
        <w:rPr>
          <w:rFonts w:ascii="Arial" w:hAnsi="Arial" w:cs="Arial"/>
          <w:sz w:val="20"/>
          <w:szCs w:val="20"/>
        </w:rPr>
        <w:t xml:space="preserve"> long-term investment capital in the spirit of the contents agreed by the </w:t>
      </w:r>
      <w:r w:rsidR="004C4A1C">
        <w:rPr>
          <w:rFonts w:ascii="Arial" w:hAnsi="Arial" w:cs="Arial"/>
          <w:sz w:val="20"/>
          <w:szCs w:val="20"/>
        </w:rPr>
        <w:t xml:space="preserve">Vietnam Rubber Group; </w:t>
      </w:r>
      <w:r w:rsidR="00B531D1" w:rsidRPr="00B531D1">
        <w:rPr>
          <w:rFonts w:ascii="Arial" w:hAnsi="Arial" w:cs="Arial"/>
          <w:sz w:val="20"/>
          <w:szCs w:val="20"/>
        </w:rPr>
        <w:t>Proposing to increase the number of</w:t>
      </w:r>
      <w:r w:rsidR="004C4A1C">
        <w:rPr>
          <w:rFonts w:ascii="Arial" w:hAnsi="Arial" w:cs="Arial"/>
          <w:sz w:val="20"/>
          <w:szCs w:val="20"/>
        </w:rPr>
        <w:t xml:space="preserve"> members of the Board of Directors at</w:t>
      </w:r>
      <w:r w:rsidR="00B531D1" w:rsidRPr="00B531D1">
        <w:rPr>
          <w:rFonts w:ascii="Arial" w:hAnsi="Arial" w:cs="Arial"/>
          <w:sz w:val="20"/>
          <w:szCs w:val="20"/>
        </w:rPr>
        <w:t xml:space="preserve"> the Ba Ria - Kampong </w:t>
      </w:r>
      <w:proofErr w:type="spellStart"/>
      <w:r w:rsidR="004C4A1C">
        <w:rPr>
          <w:rFonts w:ascii="Arial" w:hAnsi="Arial" w:cs="Arial"/>
          <w:sz w:val="20"/>
          <w:szCs w:val="20"/>
        </w:rPr>
        <w:t>thom</w:t>
      </w:r>
      <w:proofErr w:type="spellEnd"/>
      <w:r w:rsidR="004C4A1C">
        <w:rPr>
          <w:rFonts w:ascii="Arial" w:hAnsi="Arial" w:cs="Arial"/>
          <w:sz w:val="20"/>
          <w:szCs w:val="20"/>
        </w:rPr>
        <w:t xml:space="preserve"> Rubber Joint Stock Company</w:t>
      </w:r>
    </w:p>
    <w:p w:rsidR="00A0069B" w:rsidRDefault="004C4A1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531D1" w:rsidRPr="00B53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 the Group's policy for</w:t>
      </w:r>
      <w:r w:rsidR="00B531D1" w:rsidRPr="00B531D1">
        <w:rPr>
          <w:rFonts w:ascii="Arial" w:hAnsi="Arial" w:cs="Arial"/>
          <w:sz w:val="20"/>
          <w:szCs w:val="20"/>
        </w:rPr>
        <w:t xml:space="preserve"> changing the land use purpose from planting rubber trees to</w:t>
      </w:r>
      <w:r w:rsidR="00EE6088">
        <w:rPr>
          <w:rFonts w:ascii="Arial" w:hAnsi="Arial" w:cs="Arial"/>
          <w:sz w:val="20"/>
          <w:szCs w:val="20"/>
        </w:rPr>
        <w:t xml:space="preserve"> investing in other business lines.</w:t>
      </w:r>
      <w:r w:rsidR="00B531D1" w:rsidRPr="00B531D1">
        <w:rPr>
          <w:rFonts w:ascii="Arial" w:hAnsi="Arial" w:cs="Arial"/>
          <w:sz w:val="20"/>
          <w:szCs w:val="20"/>
        </w:rPr>
        <w:t xml:space="preserve"> Contact local authorities to update general planning information i</w:t>
      </w:r>
      <w:r w:rsidR="00EE6088">
        <w:rPr>
          <w:rFonts w:ascii="Arial" w:hAnsi="Arial" w:cs="Arial"/>
          <w:sz w:val="20"/>
          <w:szCs w:val="20"/>
        </w:rPr>
        <w:t xml:space="preserve">n Chau </w:t>
      </w:r>
      <w:proofErr w:type="spellStart"/>
      <w:r w:rsidR="00EE6088">
        <w:rPr>
          <w:rFonts w:ascii="Arial" w:hAnsi="Arial" w:cs="Arial"/>
          <w:sz w:val="20"/>
          <w:szCs w:val="20"/>
        </w:rPr>
        <w:t>Duc</w:t>
      </w:r>
      <w:proofErr w:type="spellEnd"/>
      <w:r w:rsidR="00EE6088">
        <w:rPr>
          <w:rFonts w:ascii="Arial" w:hAnsi="Arial" w:cs="Arial"/>
          <w:sz w:val="20"/>
          <w:szCs w:val="20"/>
        </w:rPr>
        <w:t xml:space="preserve"> district and at the C</w:t>
      </w:r>
      <w:r w:rsidR="00B531D1" w:rsidRPr="00B531D1">
        <w:rPr>
          <w:rFonts w:ascii="Arial" w:hAnsi="Arial" w:cs="Arial"/>
          <w:sz w:val="20"/>
          <w:szCs w:val="20"/>
        </w:rPr>
        <w:t xml:space="preserve">ompany. After Vietnam Rubber Group </w:t>
      </w:r>
      <w:r w:rsidR="00EE6088">
        <w:rPr>
          <w:rFonts w:ascii="Arial" w:hAnsi="Arial" w:cs="Arial"/>
          <w:sz w:val="20"/>
          <w:szCs w:val="20"/>
        </w:rPr>
        <w:t>agrees to</w:t>
      </w:r>
      <w:r w:rsidR="00B531D1" w:rsidRPr="00B531D1">
        <w:rPr>
          <w:rFonts w:ascii="Arial" w:hAnsi="Arial" w:cs="Arial"/>
          <w:sz w:val="20"/>
          <w:szCs w:val="20"/>
        </w:rPr>
        <w:t xml:space="preserve"> continue carrying ou</w:t>
      </w:r>
      <w:r w:rsidR="00A0069B">
        <w:rPr>
          <w:rFonts w:ascii="Arial" w:hAnsi="Arial" w:cs="Arial"/>
          <w:sz w:val="20"/>
          <w:szCs w:val="20"/>
        </w:rPr>
        <w:t>t the procedures as prescribed</w:t>
      </w:r>
    </w:p>
    <w:p w:rsidR="008405D9" w:rsidRDefault="00A0069B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531D1" w:rsidRPr="00B531D1">
        <w:rPr>
          <w:rFonts w:ascii="Arial" w:hAnsi="Arial" w:cs="Arial"/>
          <w:sz w:val="20"/>
          <w:szCs w:val="20"/>
        </w:rPr>
        <w:t xml:space="preserve"> Continuing to find measures: saving and lowering production costs, liquidating damaged cars repaired </w:t>
      </w:r>
      <w:r>
        <w:rPr>
          <w:rFonts w:ascii="Arial" w:hAnsi="Arial" w:cs="Arial"/>
          <w:sz w:val="20"/>
          <w:szCs w:val="20"/>
        </w:rPr>
        <w:t xml:space="preserve">for many times; </w:t>
      </w:r>
      <w:r w:rsidR="00B531D1" w:rsidRPr="00B531D1">
        <w:rPr>
          <w:rFonts w:ascii="Arial" w:hAnsi="Arial" w:cs="Arial"/>
          <w:sz w:val="20"/>
          <w:szCs w:val="20"/>
        </w:rPr>
        <w:t>Spending</w:t>
      </w:r>
      <w:r>
        <w:rPr>
          <w:rFonts w:ascii="Arial" w:hAnsi="Arial" w:cs="Arial"/>
          <w:sz w:val="20"/>
          <w:szCs w:val="20"/>
        </w:rPr>
        <w:t xml:space="preserve"> on</w:t>
      </w:r>
      <w:r w:rsidR="00B531D1" w:rsidRPr="00B531D1">
        <w:rPr>
          <w:rFonts w:ascii="Arial" w:hAnsi="Arial" w:cs="Arial"/>
          <w:sz w:val="20"/>
          <w:szCs w:val="20"/>
        </w:rPr>
        <w:t xml:space="preserve"> mid-shift meals for workers </w:t>
      </w:r>
      <w:r w:rsidR="002B69DC">
        <w:rPr>
          <w:rFonts w:ascii="Arial" w:hAnsi="Arial" w:cs="Arial"/>
          <w:sz w:val="20"/>
          <w:szCs w:val="20"/>
        </w:rPr>
        <w:t>directly tapping latex</w:t>
      </w:r>
      <w:r w:rsidR="00B531D1" w:rsidRPr="00B531D1">
        <w:rPr>
          <w:rFonts w:ascii="Arial" w:hAnsi="Arial" w:cs="Arial"/>
          <w:sz w:val="20"/>
          <w:szCs w:val="20"/>
        </w:rPr>
        <w:t xml:space="preserve"> to attract workers, minimizing the garden without </w:t>
      </w:r>
      <w:r w:rsidR="0099737A">
        <w:rPr>
          <w:rFonts w:ascii="Arial" w:hAnsi="Arial" w:cs="Arial"/>
          <w:sz w:val="20"/>
          <w:szCs w:val="20"/>
        </w:rPr>
        <w:t>workers</w:t>
      </w:r>
      <w:r w:rsidR="00B531D1" w:rsidRPr="00B531D1">
        <w:rPr>
          <w:rFonts w:ascii="Arial" w:hAnsi="Arial" w:cs="Arial"/>
          <w:sz w:val="20"/>
          <w:szCs w:val="20"/>
        </w:rPr>
        <w:t xml:space="preserve">, striving to complete the exploitation </w:t>
      </w:r>
      <w:r w:rsidR="0099737A">
        <w:rPr>
          <w:rFonts w:ascii="Arial" w:hAnsi="Arial" w:cs="Arial"/>
          <w:sz w:val="20"/>
          <w:szCs w:val="20"/>
        </w:rPr>
        <w:t>plan; when conditions are better, proceed</w:t>
      </w:r>
      <w:r w:rsidR="00B531D1" w:rsidRPr="00B531D1">
        <w:rPr>
          <w:rFonts w:ascii="Arial" w:hAnsi="Arial" w:cs="Arial"/>
          <w:sz w:val="20"/>
          <w:szCs w:val="20"/>
        </w:rPr>
        <w:t xml:space="preserve"> settle</w:t>
      </w:r>
      <w:r w:rsidR="008405D9">
        <w:rPr>
          <w:rFonts w:ascii="Arial" w:hAnsi="Arial" w:cs="Arial"/>
          <w:sz w:val="20"/>
          <w:szCs w:val="20"/>
        </w:rPr>
        <w:t>ment of</w:t>
      </w:r>
      <w:r w:rsidR="00B531D1" w:rsidRPr="00B531D1">
        <w:rPr>
          <w:rFonts w:ascii="Arial" w:hAnsi="Arial" w:cs="Arial"/>
          <w:sz w:val="20"/>
          <w:szCs w:val="20"/>
        </w:rPr>
        <w:t xml:space="preserve"> mid-shift meals for the remaining </w:t>
      </w:r>
      <w:r w:rsidR="008405D9">
        <w:rPr>
          <w:rFonts w:ascii="Arial" w:hAnsi="Arial" w:cs="Arial"/>
          <w:sz w:val="20"/>
          <w:szCs w:val="20"/>
        </w:rPr>
        <w:t>workers</w:t>
      </w:r>
    </w:p>
    <w:p w:rsidR="00B531D1" w:rsidRDefault="00B531D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1D1">
        <w:rPr>
          <w:rFonts w:ascii="Arial" w:hAnsi="Arial" w:cs="Arial"/>
          <w:sz w:val="20"/>
          <w:szCs w:val="20"/>
        </w:rPr>
        <w:t>The</w:t>
      </w:r>
      <w:r w:rsidR="008405D9">
        <w:rPr>
          <w:rFonts w:ascii="Arial" w:hAnsi="Arial" w:cs="Arial"/>
          <w:sz w:val="20"/>
          <w:szCs w:val="20"/>
        </w:rPr>
        <w:t xml:space="preserve"> Board of Directors assigns members of the Board of Directors </w:t>
      </w:r>
      <w:r w:rsidRPr="00B531D1">
        <w:rPr>
          <w:rFonts w:ascii="Arial" w:hAnsi="Arial" w:cs="Arial"/>
          <w:sz w:val="20"/>
          <w:szCs w:val="20"/>
        </w:rPr>
        <w:t>and the General Director of the Company to organize the implementation</w:t>
      </w:r>
      <w:r w:rsidR="00D91CF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531D1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0A8"/>
    <w:rsid w:val="00194B6D"/>
    <w:rsid w:val="001B6316"/>
    <w:rsid w:val="001B6ABD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B69DC"/>
    <w:rsid w:val="002C36A5"/>
    <w:rsid w:val="002D481A"/>
    <w:rsid w:val="002D4939"/>
    <w:rsid w:val="002D53EE"/>
    <w:rsid w:val="002E43D7"/>
    <w:rsid w:val="002E600A"/>
    <w:rsid w:val="002E76E5"/>
    <w:rsid w:val="002E7F28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56BC"/>
    <w:rsid w:val="0033774A"/>
    <w:rsid w:val="00341204"/>
    <w:rsid w:val="00353428"/>
    <w:rsid w:val="003707DF"/>
    <w:rsid w:val="003716B9"/>
    <w:rsid w:val="0037607E"/>
    <w:rsid w:val="00376C10"/>
    <w:rsid w:val="00386132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851DD"/>
    <w:rsid w:val="00490B2B"/>
    <w:rsid w:val="00491818"/>
    <w:rsid w:val="00491B54"/>
    <w:rsid w:val="004961C6"/>
    <w:rsid w:val="00496733"/>
    <w:rsid w:val="004A554D"/>
    <w:rsid w:val="004B2157"/>
    <w:rsid w:val="004B2BA6"/>
    <w:rsid w:val="004B4798"/>
    <w:rsid w:val="004B75CD"/>
    <w:rsid w:val="004C144F"/>
    <w:rsid w:val="004C4A1C"/>
    <w:rsid w:val="004C7A9A"/>
    <w:rsid w:val="004D0B61"/>
    <w:rsid w:val="004E0EC1"/>
    <w:rsid w:val="004E4C16"/>
    <w:rsid w:val="004E6C02"/>
    <w:rsid w:val="00503DD6"/>
    <w:rsid w:val="00505065"/>
    <w:rsid w:val="00522E0F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17AFE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D9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B39F0"/>
    <w:rsid w:val="008C0872"/>
    <w:rsid w:val="008C7A42"/>
    <w:rsid w:val="008D0403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5B6A"/>
    <w:rsid w:val="0098619C"/>
    <w:rsid w:val="0099040A"/>
    <w:rsid w:val="0099737A"/>
    <w:rsid w:val="009A064A"/>
    <w:rsid w:val="009A6F47"/>
    <w:rsid w:val="009C28F2"/>
    <w:rsid w:val="009E1744"/>
    <w:rsid w:val="009E3716"/>
    <w:rsid w:val="009E4AC5"/>
    <w:rsid w:val="009E5DD2"/>
    <w:rsid w:val="009F0EDD"/>
    <w:rsid w:val="009F2709"/>
    <w:rsid w:val="00A0069B"/>
    <w:rsid w:val="00A050AA"/>
    <w:rsid w:val="00A05149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4727"/>
    <w:rsid w:val="00A87ED0"/>
    <w:rsid w:val="00A92963"/>
    <w:rsid w:val="00A95FE6"/>
    <w:rsid w:val="00AA077E"/>
    <w:rsid w:val="00AA1BAA"/>
    <w:rsid w:val="00AA281C"/>
    <w:rsid w:val="00AA294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704"/>
    <w:rsid w:val="00B46C41"/>
    <w:rsid w:val="00B47474"/>
    <w:rsid w:val="00B531D1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5D5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41D7"/>
    <w:rsid w:val="00C26F1A"/>
    <w:rsid w:val="00C32F3A"/>
    <w:rsid w:val="00C33F82"/>
    <w:rsid w:val="00C36031"/>
    <w:rsid w:val="00C40291"/>
    <w:rsid w:val="00C52EED"/>
    <w:rsid w:val="00C57CB9"/>
    <w:rsid w:val="00C60ECF"/>
    <w:rsid w:val="00C61E40"/>
    <w:rsid w:val="00C61EAF"/>
    <w:rsid w:val="00C940B5"/>
    <w:rsid w:val="00C97B83"/>
    <w:rsid w:val="00CA0E1B"/>
    <w:rsid w:val="00CA1BB3"/>
    <w:rsid w:val="00CB4804"/>
    <w:rsid w:val="00CB5C91"/>
    <w:rsid w:val="00CC29D0"/>
    <w:rsid w:val="00CC39D3"/>
    <w:rsid w:val="00CC58EA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4C4E"/>
    <w:rsid w:val="00D370AF"/>
    <w:rsid w:val="00D415AC"/>
    <w:rsid w:val="00D42041"/>
    <w:rsid w:val="00D42678"/>
    <w:rsid w:val="00D43EF6"/>
    <w:rsid w:val="00D46631"/>
    <w:rsid w:val="00D472EC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48EB"/>
    <w:rsid w:val="00D8674C"/>
    <w:rsid w:val="00D86BED"/>
    <w:rsid w:val="00D91CF0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2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15A3"/>
    <w:rsid w:val="00EA25C3"/>
    <w:rsid w:val="00EA4C28"/>
    <w:rsid w:val="00EA6EE7"/>
    <w:rsid w:val="00EB4EB7"/>
    <w:rsid w:val="00EC2D2D"/>
    <w:rsid w:val="00EC37DE"/>
    <w:rsid w:val="00ED283C"/>
    <w:rsid w:val="00ED3B40"/>
    <w:rsid w:val="00ED6D41"/>
    <w:rsid w:val="00EE52A3"/>
    <w:rsid w:val="00EE5769"/>
    <w:rsid w:val="00EE6088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57247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6AD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385</cp:revision>
  <dcterms:created xsi:type="dcterms:W3CDTF">2019-10-16T10:03:00Z</dcterms:created>
  <dcterms:modified xsi:type="dcterms:W3CDTF">2020-07-22T09:15:00Z</dcterms:modified>
</cp:coreProperties>
</file>